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3420B9" w:rsidRDefault="009B030D" w:rsidP="003420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5957C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922F69">
        <w:rPr>
          <w:rFonts w:ascii="Times New Roman" w:hAnsi="Times New Roman" w:cs="Times New Roman"/>
          <w:b/>
          <w:sz w:val="24"/>
          <w:szCs w:val="24"/>
        </w:rPr>
        <w:t>590</w:t>
      </w:r>
      <w:r w:rsidR="003420B9">
        <w:rPr>
          <w:rFonts w:ascii="Times New Roman" w:hAnsi="Times New Roman" w:cs="Times New Roman"/>
          <w:b/>
          <w:sz w:val="24"/>
          <w:szCs w:val="24"/>
        </w:rPr>
        <w:t>8</w:t>
      </w:r>
      <w:r w:rsidR="007B5E73" w:rsidRPr="007B5E73">
        <w:rPr>
          <w:rFonts w:ascii="Times New Roman" w:hAnsi="Times New Roman" w:cs="Times New Roman"/>
          <w:b/>
          <w:sz w:val="24"/>
          <w:szCs w:val="24"/>
        </w:rPr>
        <w:t xml:space="preserve">-OD на право заключения договора поставки </w:t>
      </w:r>
      <w:r w:rsidR="00922F69">
        <w:rPr>
          <w:rFonts w:ascii="Times New Roman" w:hAnsi="Times New Roman" w:cs="Times New Roman"/>
          <w:b/>
          <w:sz w:val="24"/>
          <w:szCs w:val="24"/>
        </w:rPr>
        <w:t>морских разрывных</w:t>
      </w:r>
      <w:r w:rsidR="003420B9" w:rsidRPr="00461DC4">
        <w:rPr>
          <w:rFonts w:ascii="Times New Roman" w:hAnsi="Times New Roman" w:cs="Times New Roman"/>
          <w:b/>
          <w:sz w:val="24"/>
          <w:szCs w:val="24"/>
        </w:rPr>
        <w:t xml:space="preserve"> соедине</w:t>
      </w:r>
      <w:r w:rsidR="00922F69">
        <w:rPr>
          <w:rFonts w:ascii="Times New Roman" w:hAnsi="Times New Roman" w:cs="Times New Roman"/>
          <w:b/>
          <w:sz w:val="24"/>
          <w:szCs w:val="24"/>
        </w:rPr>
        <w:t>ний</w:t>
      </w:r>
      <w:r w:rsidR="003420B9">
        <w:rPr>
          <w:rFonts w:ascii="Times New Roman" w:hAnsi="Times New Roman" w:cs="Times New Roman"/>
          <w:b/>
          <w:sz w:val="24"/>
          <w:szCs w:val="24"/>
        </w:rPr>
        <w:t xml:space="preserve"> для Морского терминала АО "</w:t>
      </w:r>
      <w:r w:rsidR="003420B9" w:rsidRPr="00461DC4">
        <w:rPr>
          <w:rFonts w:ascii="Times New Roman" w:hAnsi="Times New Roman" w:cs="Times New Roman"/>
          <w:b/>
          <w:sz w:val="24"/>
          <w:szCs w:val="24"/>
        </w:rPr>
        <w:t>КТК-Р"</w:t>
      </w:r>
      <w:r w:rsidR="000D21A1" w:rsidRPr="000D21A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Hereby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Company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invites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7B5E73" w:rsidRPr="003420B9">
        <w:rPr>
          <w:rFonts w:ascii="Times New Roman" w:hAnsi="Times New Roman" w:cs="Times New Roman"/>
          <w:sz w:val="24"/>
          <w:szCs w:val="24"/>
        </w:rPr>
        <w:t xml:space="preserve"> # </w:t>
      </w:r>
      <w:r w:rsidR="00922F69">
        <w:rPr>
          <w:rFonts w:ascii="Times New Roman" w:hAnsi="Times New Roman" w:cs="Times New Roman"/>
          <w:b/>
          <w:sz w:val="24"/>
          <w:szCs w:val="24"/>
        </w:rPr>
        <w:t>590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>8</w:t>
      </w:r>
      <w:r w:rsidR="007B5E73" w:rsidRPr="003420B9">
        <w:rPr>
          <w:rFonts w:ascii="Times New Roman" w:hAnsi="Times New Roman" w:cs="Times New Roman"/>
          <w:b/>
          <w:sz w:val="24"/>
          <w:szCs w:val="24"/>
        </w:rPr>
        <w:t>-</w:t>
      </w:r>
      <w:r w:rsidR="007B5E73" w:rsidRPr="007B5E73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976708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agreement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C8" w:rsidRPr="007B5E73">
        <w:rPr>
          <w:rFonts w:ascii="Times New Roman" w:hAnsi="Times New Roman" w:cs="Times New Roman"/>
          <w:b/>
          <w:sz w:val="24"/>
          <w:szCs w:val="24"/>
          <w:lang w:val="en-US"/>
        </w:rPr>
        <w:t>supply</w:t>
      </w:r>
      <w:r w:rsidR="005957C8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E73" w:rsidRPr="007B5E73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marine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breakaway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48B">
        <w:rPr>
          <w:rFonts w:ascii="Times New Roman" w:hAnsi="Times New Roman" w:cs="Times New Roman"/>
          <w:b/>
          <w:sz w:val="24"/>
          <w:szCs w:val="24"/>
          <w:lang w:val="en-US"/>
        </w:rPr>
        <w:t>coupling</w:t>
      </w:r>
      <w:r w:rsidR="00922F6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7B5E73">
        <w:rPr>
          <w:rFonts w:ascii="Times New Roman" w:hAnsi="Times New Roman" w:cs="Times New Roman"/>
          <w:b/>
          <w:sz w:val="24"/>
          <w:szCs w:val="24"/>
          <w:lang w:val="en-US"/>
        </w:rPr>
        <w:t>Marine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7B5E73">
        <w:rPr>
          <w:rFonts w:ascii="Times New Roman" w:hAnsi="Times New Roman" w:cs="Times New Roman"/>
          <w:b/>
          <w:sz w:val="24"/>
          <w:szCs w:val="24"/>
          <w:lang w:val="en-US"/>
        </w:rPr>
        <w:t>Terminal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r w:rsidR="003420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CPC</w:t>
      </w:r>
      <w:r w:rsidR="003420B9" w:rsidRPr="003420B9">
        <w:rPr>
          <w:rFonts w:ascii="Times New Roman" w:hAnsi="Times New Roman" w:cs="Times New Roman"/>
          <w:b/>
          <w:sz w:val="24"/>
          <w:szCs w:val="24"/>
        </w:rPr>
        <w:t>-</w:t>
      </w:r>
      <w:r w:rsidR="003420B9" w:rsidRPr="003420B9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976708" w:rsidRPr="003420B9">
        <w:rPr>
          <w:rFonts w:ascii="Times New Roman" w:hAnsi="Times New Roman" w:cs="Times New Roman"/>
          <w:b/>
          <w:sz w:val="24"/>
          <w:szCs w:val="24"/>
        </w:rPr>
        <w:t>.</w:t>
      </w:r>
    </w:p>
    <w:p w:rsidR="00FD4DF6" w:rsidRPr="003420B9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>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до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участия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данном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3420B9">
        <w:rPr>
          <w:rFonts w:ascii="Times New Roman" w:hAnsi="Times New Roman" w:cs="Times New Roman"/>
          <w:sz w:val="24"/>
          <w:szCs w:val="24"/>
        </w:rPr>
        <w:t>,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свои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Тендерные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3420B9">
        <w:rPr>
          <w:rFonts w:ascii="Times New Roman" w:hAnsi="Times New Roman" w:cs="Times New Roman"/>
          <w:sz w:val="24"/>
          <w:szCs w:val="24"/>
        </w:rPr>
        <w:t xml:space="preserve">, </w:t>
      </w:r>
      <w:r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в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>с</w:t>
      </w:r>
      <w:r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/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suggests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Bidders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admitted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submit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Bids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prepared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compliance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Invitation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0D21A1" w:rsidRPr="003420B9">
        <w:rPr>
          <w:rFonts w:ascii="Times New Roman" w:hAnsi="Times New Roman" w:cs="Times New Roman"/>
          <w:sz w:val="24"/>
          <w:szCs w:val="24"/>
        </w:rPr>
        <w:t xml:space="preserve"> </w:t>
      </w:r>
      <w:r w:rsidR="000D21A1" w:rsidRPr="000D21A1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0D21A1" w:rsidRPr="003420B9">
        <w:rPr>
          <w:rFonts w:ascii="Times New Roman" w:hAnsi="Times New Roman" w:cs="Times New Roman"/>
          <w:sz w:val="24"/>
          <w:szCs w:val="24"/>
        </w:rPr>
        <w:t>.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AC0C45" w:rsidRPr="00502287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ATTENTION!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This two-stage tender is a Type 2 tender: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C0C45">
        <w:rPr>
          <w:rFonts w:ascii="Times New Roman" w:hAnsi="Times New Roman" w:cs="Times New Roman"/>
          <w:color w:val="FF0000"/>
          <w:sz w:val="24"/>
          <w:szCs w:val="24"/>
          <w:lang w:val="en-US"/>
        </w:rPr>
        <w:t>Type 2 - with a parallel evaluation of the pre-qualification part and the technical part of the tender offer - at the first stage, the participant submits an electronic version of the pre-qualification application and the technical part of the tender offer, at the second stage - the electronic version of the commercial part of the tender offer. Tender participants are invited to the second stage additionally (based on the results of the pre-qualification and technical evaluation of the tender offer).</w:t>
      </w:r>
    </w:p>
    <w:p w:rsidR="00AC0C45" w:rsidRPr="00AC0C45" w:rsidRDefault="00AC0C45" w:rsidP="00AC0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922F6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03ACF" w:rsidRDefault="00A87530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Морской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терминал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B7A1E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CPC-R Marine terminal</w:t>
            </w:r>
          </w:p>
        </w:tc>
      </w:tr>
      <w:tr w:rsidR="00FD4DF6" w:rsidRPr="00922F6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B5E73" w:rsidRDefault="007B5E73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</w:t>
            </w:r>
            <w:r w:rsidRPr="007B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контрагентом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Is to specify by counterpart</w:t>
            </w:r>
            <w:r w:rsidR="00CB7A1E" w:rsidRPr="007B5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Субподрядчиков (субпоставщиков, соисполнителей), перечень документов, подтверждающих правоспособность и квалификацию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7B5E73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487078" w:rsidRPr="00922F69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delivery).</w:t>
            </w:r>
          </w:p>
        </w:tc>
      </w:tr>
      <w:tr w:rsidR="00A02A55" w:rsidRPr="00922F69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03ACF" w:rsidRDefault="000D21A1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Морском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</w:rPr>
              <w:t>Терминале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3ACF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03ACF">
              <w:rPr>
                <w:rFonts w:ascii="Times New Roman" w:hAnsi="Times New Roman" w:cs="Times New Roman"/>
                <w:sz w:val="24"/>
                <w:szCs w:val="24"/>
              </w:rPr>
              <w:t>адресу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Marine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957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Terminal</w:t>
            </w:r>
            <w:r w:rsidR="005957C8" w:rsidRP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warehouse</w:t>
            </w:r>
            <w:r w:rsidR="00903A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at the address:</w:t>
            </w:r>
          </w:p>
          <w:p w:rsidR="00903ACF" w:rsidRPr="0055385B" w:rsidRDefault="00903ACF" w:rsidP="00903AC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Краснодарский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Новороссийск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Приморский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внутригородской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3ACF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RF, Krasnodarsky Krai, city of Novorossiysk, Primorsky inner city district</w:t>
            </w:r>
          </w:p>
          <w:p w:rsidR="00A02A55" w:rsidRPr="0055385B" w:rsidRDefault="00903ACF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проезда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Road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map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# 7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FD4DF6" w:rsidRPr="00922F6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, Английский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Russian, English</w:t>
            </w:r>
          </w:p>
        </w:tc>
      </w:tr>
      <w:tr w:rsidR="00FD4DF6" w:rsidRPr="00922F6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838BB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стандартного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представлен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3B14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agreement</w:t>
            </w:r>
            <w:r w:rsidR="00CE3B14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CE3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presented in Exhibit #3 of the tender package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Bank guarantee or other types of securing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922F6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Default="00AC0C45" w:rsidP="00736653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AC0C45" w:rsidRPr="00AC0C45" w:rsidRDefault="00AC0C4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0C45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ATTENTION! At the first stage of the tender, the participant submits an electronic version of the prequalification application and the technical part of the tender proposal.</w:t>
            </w:r>
          </w:p>
        </w:tc>
      </w:tr>
      <w:tr w:rsidR="000F3868" w:rsidRPr="00922F69" w:rsidTr="00736653">
        <w:tc>
          <w:tcPr>
            <w:tcW w:w="4253" w:type="dxa"/>
            <w:shd w:val="clear" w:color="auto" w:fill="auto"/>
            <w:vAlign w:val="center"/>
          </w:tcPr>
          <w:p w:rsidR="000F3868" w:rsidRPr="000426A0" w:rsidRDefault="000426A0" w:rsidP="000426A0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 w:rsidRPr="000426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Pr="00042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</w:t>
            </w:r>
            <w:r w:rsidR="00C9384A" w:rsidRPr="000426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420B9" w:rsidRPr="003420B9" w:rsidRDefault="00E4770A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задание </w:t>
            </w:r>
            <w:r w:rsidR="00922F69">
              <w:rPr>
                <w:rFonts w:ascii="Times New Roman" w:hAnsi="Times New Roman" w:cs="Times New Roman"/>
                <w:sz w:val="24"/>
                <w:szCs w:val="24"/>
              </w:rPr>
              <w:t>и чертеж на оборудование представлены</w:t>
            </w:r>
            <w:r w:rsidR="003420B9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 №6 пакета тендерной документации.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Перечень требуемой документации:</w:t>
            </w:r>
          </w:p>
          <w:p w:rsidR="000F3868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</w:rPr>
              <w:t>Паспорт, Руководство по эксплуатации, установке, демонтажу и хранению. МРС должны изготавливаться и тестироваться под наблюдением АВS или Российского морского регистра судоходства (РС, Регистр), с выдачей соответствующего сертификата.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Technical description </w:t>
            </w:r>
            <w:r w:rsidR="00922F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drawing are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included in the Exhibit # </w:t>
            </w:r>
            <w:r w:rsidR="00394C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538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 of required documentation:</w:t>
            </w:r>
          </w:p>
          <w:p w:rsidR="003420B9" w:rsidRPr="003420B9" w:rsidRDefault="003420B9" w:rsidP="003420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</w:t>
            </w:r>
            <w:r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assport, Operation, installation, dismantling and storage manual. 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BC</w:t>
            </w:r>
            <w:r w:rsidRPr="003420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must be manufactured and tested under the supervision of ABS or the Russian Maritime Register of Shipping (RS, Register), with the issuance of an appropriate certificate.</w:t>
            </w:r>
          </w:p>
        </w:tc>
      </w:tr>
      <w:tr w:rsidR="00E16E61" w:rsidRPr="00922F69" w:rsidTr="00736653">
        <w:tc>
          <w:tcPr>
            <w:tcW w:w="4253" w:type="dxa"/>
            <w:shd w:val="clear" w:color="auto" w:fill="auto"/>
            <w:vAlign w:val="center"/>
          </w:tcPr>
          <w:p w:rsidR="00E16E61" w:rsidRPr="00C9384A" w:rsidRDefault="001F5032" w:rsidP="0066616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9838BB" w:rsidRDefault="009838BB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="00297BEB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="00666163"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83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# </w:t>
            </w:r>
            <w:r w:rsidR="000426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the tender package.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6A587A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Безродная Юлия Сергеевна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Julya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Bezrodnaya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, Julia.Bezrodnaya@cpcpipe.ru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22F6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922F6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57C8" w:rsidRPr="004855FC" w:rsidTr="00736653">
        <w:tc>
          <w:tcPr>
            <w:tcW w:w="4253" w:type="dxa"/>
            <w:shd w:val="clear" w:color="auto" w:fill="auto"/>
            <w:vAlign w:val="center"/>
          </w:tcPr>
          <w:p w:rsidR="005957C8" w:rsidRPr="001E7790" w:rsidRDefault="005957C8" w:rsidP="005957C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for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960AD" w:rsidRPr="004855FC" w:rsidRDefault="00E4770A" w:rsidP="004855FC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  <w:u w:val="single"/>
              </w:rPr>
              <w:lastRenderedPageBreak/>
              <w:t>П</w:t>
            </w:r>
            <w:r w:rsidR="005957C8" w:rsidRPr="00694C3E">
              <w:rPr>
                <w:rFonts w:ascii="Times New Roman" w:hAnsi="Times New Roman" w:cs="Times New Roman"/>
                <w:i/>
                <w:color w:val="FF0000"/>
                <w:u w:val="single"/>
              </w:rPr>
              <w:t>рием предложений по данному тендеру ведется исключительно в электронном формате</w:t>
            </w:r>
            <w:r w:rsidR="005957C8" w:rsidRPr="00694C3E">
              <w:rPr>
                <w:rFonts w:ascii="Times New Roman" w:hAnsi="Times New Roman" w:cs="Times New Roman"/>
                <w:i/>
                <w:color w:val="FF0000"/>
              </w:rPr>
              <w:t>.</w:t>
            </w:r>
          </w:p>
        </w:tc>
      </w:tr>
      <w:tr w:rsidR="00394C4E" w:rsidRPr="00F06A16" w:rsidTr="00736653">
        <w:tc>
          <w:tcPr>
            <w:tcW w:w="4253" w:type="dxa"/>
            <w:shd w:val="clear" w:color="auto" w:fill="auto"/>
            <w:vAlign w:val="center"/>
          </w:tcPr>
          <w:p w:rsidR="00394C4E" w:rsidRPr="00AD180F" w:rsidRDefault="00394C4E" w:rsidP="00394C4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3"/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Pr="00AD1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94C4E" w:rsidRPr="00D6363F" w:rsidRDefault="00922F69" w:rsidP="00394C4E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9F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394C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bookmarkStart w:id="4" w:name="_GoBack"/>
            <w:bookmarkEnd w:id="4"/>
            <w:r w:rsidR="009F2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490" w:rsidRDefault="001B3490" w:rsidP="00D408E3">
      <w:pPr>
        <w:spacing w:before="0" w:after="0" w:line="240" w:lineRule="auto"/>
      </w:pPr>
      <w:r>
        <w:separator/>
      </w:r>
    </w:p>
  </w:endnote>
  <w:endnote w:type="continuationSeparator" w:id="0">
    <w:p w:rsidR="001B3490" w:rsidRDefault="001B3490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2F6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22F69">
            <w:rPr>
              <w:rFonts w:ascii="Times New Roman" w:hAnsi="Times New Roman" w:cs="Times New Roman"/>
              <w:noProof/>
              <w:sz w:val="24"/>
              <w:szCs w:val="24"/>
            </w:rPr>
            <w:t>4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490" w:rsidRDefault="001B3490" w:rsidP="00D408E3">
      <w:pPr>
        <w:spacing w:before="0" w:after="0" w:line="240" w:lineRule="auto"/>
      </w:pPr>
      <w:r>
        <w:separator/>
      </w:r>
    </w:p>
  </w:footnote>
  <w:footnote w:type="continuationSeparator" w:id="0">
    <w:p w:rsidR="001B3490" w:rsidRDefault="001B3490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26A0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04848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3490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07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F36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97BEB"/>
    <w:rsid w:val="002A4C14"/>
    <w:rsid w:val="002A5EDD"/>
    <w:rsid w:val="002A616B"/>
    <w:rsid w:val="002B073A"/>
    <w:rsid w:val="002B147D"/>
    <w:rsid w:val="002B23A4"/>
    <w:rsid w:val="002B53E7"/>
    <w:rsid w:val="002B579F"/>
    <w:rsid w:val="002B68E1"/>
    <w:rsid w:val="002B7829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20B9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C4E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B1"/>
    <w:rsid w:val="003B4BCD"/>
    <w:rsid w:val="003B5085"/>
    <w:rsid w:val="003B6018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2559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55FC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59CC"/>
    <w:rsid w:val="0054796D"/>
    <w:rsid w:val="00551346"/>
    <w:rsid w:val="005519FA"/>
    <w:rsid w:val="0055385B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7C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0573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5E73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031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3ACF"/>
    <w:rsid w:val="00904016"/>
    <w:rsid w:val="00906D93"/>
    <w:rsid w:val="00910298"/>
    <w:rsid w:val="00912F50"/>
    <w:rsid w:val="009151B2"/>
    <w:rsid w:val="00915329"/>
    <w:rsid w:val="00915960"/>
    <w:rsid w:val="00916A2F"/>
    <w:rsid w:val="00922F69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77679"/>
    <w:rsid w:val="009800C9"/>
    <w:rsid w:val="009803EB"/>
    <w:rsid w:val="00980982"/>
    <w:rsid w:val="00980D9A"/>
    <w:rsid w:val="00982BDE"/>
    <w:rsid w:val="009838BB"/>
    <w:rsid w:val="00987552"/>
    <w:rsid w:val="00987BB7"/>
    <w:rsid w:val="00993A22"/>
    <w:rsid w:val="009960AD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48B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C45"/>
    <w:rsid w:val="00AC0F06"/>
    <w:rsid w:val="00AC3BCE"/>
    <w:rsid w:val="00AC552C"/>
    <w:rsid w:val="00AC676B"/>
    <w:rsid w:val="00AC7191"/>
    <w:rsid w:val="00AD0757"/>
    <w:rsid w:val="00AD101B"/>
    <w:rsid w:val="00AD180F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3877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40F2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426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39AF"/>
    <w:rsid w:val="00CB4C3D"/>
    <w:rsid w:val="00CB60B3"/>
    <w:rsid w:val="00CB7A1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3B14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415D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4770A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0BF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C3D0B8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A5DB90-0A6C-47DC-8609-2829479F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928</Words>
  <Characters>5295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50</cp:revision>
  <cp:lastPrinted>2017-03-07T10:36:00Z</cp:lastPrinted>
  <dcterms:created xsi:type="dcterms:W3CDTF">2014-12-09T16:06:00Z</dcterms:created>
  <dcterms:modified xsi:type="dcterms:W3CDTF">2023-09-28T13:17:00Z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